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rFonts w:ascii="Arial" w:cs="Arial" w:eastAsia="Arial" w:hAnsi="Arial"/>
          <w:b w:val="1"/>
          <w:bCs w:val="1"/>
        </w:rPr>
      </w:pPr>
      <w:r w:rsidDel="00000000" w:rsidR="00000000" w:rsidRPr="00000000">
        <w:rPr>
          <w:rFonts w:ascii="Arial" w:cs="Arial" w:eastAsia="Arial" w:hAnsi="Arial"/>
          <w:b w:val="1"/>
          <w:bCs w:val="1"/>
          <w:sz w:val="22"/>
          <w:szCs w:val="22"/>
          <w:rtl w:val="0"/>
        </w:rPr>
        <w:t xml:space="preserve">Resolution No. </w:t>
      </w:r>
      <w:r w:rsidDel="00000000" w:rsidR="00000000" w:rsidRPr="00000000">
        <w:rPr>
          <w:rtl w:val="0"/>
        </w:rPr>
      </w:r>
    </w:p>
    <w:p w:rsidR="00000000" w:rsidDel="00000000" w:rsidP="00000000" w:rsidRDefault="00000000" w:rsidRPr="00000000" w14:paraId="00000002">
      <w:pPr>
        <w:spacing w:after="0"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03">
      <w:pPr>
        <w:spacing w:after="240" w:before="240" w:line="259"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WHEREAS, the 2020 New Jersey Student Learning Standards for Comprehensive Health and Physical Education (NJSLS-CHPE), Standard 2.3 on Personal Safety, include performance expectations addressing online safety and human trafficking, helping students recognize potential risks, make informed decisions, develop strategies to navigate unsafe situations, and understand when and how to seek help;</w:t>
      </w:r>
    </w:p>
    <w:p w:rsidR="00000000" w:rsidDel="00000000" w:rsidP="00000000" w:rsidRDefault="00000000" w:rsidRPr="00000000" w14:paraId="00000004">
      <w:pPr>
        <w:spacing w:after="240" w:before="240" w:line="259"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WHEREAS, the New Jersey Department of Education's </w:t>
      </w:r>
      <w:r w:rsidDel="00000000" w:rsidR="00000000" w:rsidRPr="00000000">
        <w:rPr>
          <w:rFonts w:ascii="Arial" w:cs="Arial" w:eastAsia="Arial" w:hAnsi="Arial"/>
          <w:i w:val="1"/>
          <w:iCs w:val="1"/>
          <w:sz w:val="20"/>
          <w:szCs w:val="20"/>
          <w:rtl w:val="0"/>
        </w:rPr>
        <w:t xml:space="preserve">Guidelines for Schools on the Prevention of Human Trafficking of Students</w:t>
      </w:r>
      <w:r w:rsidDel="00000000" w:rsidR="00000000" w:rsidRPr="00000000">
        <w:rPr>
          <w:rFonts w:ascii="Arial" w:cs="Arial" w:eastAsia="Arial" w:hAnsi="Arial"/>
          <w:sz w:val="20"/>
          <w:szCs w:val="20"/>
          <w:rtl w:val="0"/>
        </w:rPr>
        <w:t xml:space="preserve">, developed in accordance with N.J.S.A. 18A:6-131.2 and 18A:6-131.3, provide guidance and recommended best practices for human trafficking awareness and prevention, staff training, identification of warning signs, reporting and response protocols, and parent and family engagement;</w:t>
      </w:r>
    </w:p>
    <w:p w:rsidR="00000000" w:rsidDel="00000000" w:rsidP="00000000" w:rsidRDefault="00000000" w:rsidRPr="00000000" w14:paraId="00000005">
      <w:pPr>
        <w:spacing w:after="240" w:before="240" w:line="259"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WHEREAS, Connect for Freedom Inc. (“CFF”) is a nonprofit founded in 2023 with a mission to connect education stakeholders to join the fight for freedom from online exploitation and human trafficking in their schools and communities;</w:t>
      </w:r>
    </w:p>
    <w:p w:rsidR="00000000" w:rsidDel="00000000" w:rsidP="00000000" w:rsidRDefault="00000000" w:rsidRPr="00000000" w14:paraId="00000006">
      <w:pPr>
        <w:spacing w:after="240" w:before="240" w:line="259"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WHEREAS, CFF has offered to partner with the District to provide prevention education, professional development and training materials, K–12 lesson plans, parent presentations and resources, a response protocol, and other implementation resources at no cost to the District;</w:t>
      </w:r>
    </w:p>
    <w:p w:rsidR="00000000" w:rsidDel="00000000" w:rsidP="00000000" w:rsidRDefault="00000000" w:rsidRPr="00000000" w14:paraId="00000007">
      <w:pPr>
        <w:spacing w:after="240" w:before="240" w:line="259"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WHEREAS, CFF's educational resources are curated from the Department of Homeland Security's Blue Campaign, developed in collaboration with the National Center for Missing &amp; Exploited Children, and designed to support the following performance expectations under the 2020 NJSLS-CHPE, Standard 2.3 on Personal Safety:</w:t>
      </w:r>
    </w:p>
    <w:p w:rsidR="00000000" w:rsidDel="00000000" w:rsidP="00000000" w:rsidRDefault="00000000" w:rsidRPr="00000000" w14:paraId="00000008">
      <w:pPr>
        <w:numPr>
          <w:ilvl w:val="0"/>
          <w:numId w:val="1"/>
        </w:numPr>
        <w:spacing w:after="0" w:afterAutospacing="0" w:before="240" w:line="259"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By the End of Grade 5: 2.3.5.PS.3, 4, 5, 6 — Safety awareness, digital communication, personal boundaries, and unsafe situations.</w:t>
      </w:r>
    </w:p>
    <w:p w:rsidR="00000000" w:rsidDel="00000000" w:rsidP="00000000" w:rsidRDefault="00000000" w:rsidRPr="00000000" w14:paraId="00000009">
      <w:pPr>
        <w:numPr>
          <w:ilvl w:val="0"/>
          <w:numId w:val="1"/>
        </w:numPr>
        <w:spacing w:after="0" w:afterAutospacing="0" w:before="0" w:beforeAutospacing="0" w:line="259"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By the End of Grade 8: 2.3.8.PS.1, 3, 4, 5, 6 — Risk awareness, interpersonal violence, human trafficking, and social media safety.</w:t>
      </w:r>
    </w:p>
    <w:p w:rsidR="00000000" w:rsidDel="00000000" w:rsidP="00000000" w:rsidRDefault="00000000" w:rsidRPr="00000000" w14:paraId="0000000A">
      <w:pPr>
        <w:numPr>
          <w:ilvl w:val="0"/>
          <w:numId w:val="1"/>
        </w:numPr>
        <w:spacing w:after="240" w:before="0" w:beforeAutospacing="0" w:line="259"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By the End of Grade 12: 2.3.12.PS.1, 2, 5, 6, 7, 8, 9, 10 — Decision-making, online safety, abuse prevention, human trafficking, and digital communication.</w:t>
      </w:r>
    </w:p>
    <w:p w:rsidR="00000000" w:rsidDel="00000000" w:rsidP="00000000" w:rsidRDefault="00000000" w:rsidRPr="00000000" w14:paraId="0000000B">
      <w:pPr>
        <w:spacing w:after="240" w:before="240" w:line="259"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WHEREAS, CFF's educational resources also support the recommendations outlined in the NJDOE Guidelines for Schools on the Prevention of Human Trafficking of Students (N.J.S.A. 18A:6-131.2 and 18A:6-131.3);</w:t>
      </w:r>
    </w:p>
    <w:p w:rsidR="00000000" w:rsidDel="00000000" w:rsidP="00000000" w:rsidRDefault="00000000" w:rsidRPr="00000000" w14:paraId="0000000C">
      <w:pPr>
        <w:spacing w:after="240" w:before="240" w:line="259"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WHEREAS, the District wishes to partner with CFF under a written agreement to implement the CFF program in the District's elementary, middle, and high schools; and</w:t>
      </w:r>
    </w:p>
    <w:p w:rsidR="00000000" w:rsidDel="00000000" w:rsidP="00000000" w:rsidRDefault="00000000" w:rsidRPr="00000000" w14:paraId="0000000D">
      <w:pPr>
        <w:spacing w:after="240" w:before="240" w:line="259"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WHEREAS, this partnership is in the best interests of the District and its students.</w:t>
      </w:r>
    </w:p>
    <w:p w:rsidR="00000000" w:rsidDel="00000000" w:rsidP="00000000" w:rsidRDefault="00000000" w:rsidRPr="00000000" w14:paraId="0000000E">
      <w:pPr>
        <w:spacing w:after="240" w:before="240" w:line="259"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NOW, THEREFORE, BE IT RESOLVED, that the Board of Education approves the partnership with Connect for Freedom Inc. for the ______ and ______ school years, at no cost to the District, and authorizes the Superintendent to take any action necessary to effectuate the partnership. The partnership will automatically renew for the following school year unless the District elects to discontinue the program.</w:t>
      </w:r>
    </w:p>
    <w:p w:rsidR="00000000" w:rsidDel="00000000" w:rsidP="00000000" w:rsidRDefault="00000000" w:rsidRPr="00000000" w14:paraId="0000000F">
      <w:pPr>
        <w:spacing w:after="0" w:line="259" w:lineRule="auto"/>
        <w:rPr>
          <w:sz w:val="20"/>
          <w:szCs w:val="20"/>
        </w:rPr>
      </w:pPr>
      <w:r w:rsidDel="00000000" w:rsidR="00000000" w:rsidRPr="00000000">
        <w:rPr>
          <w:rtl w:val="0"/>
        </w:rPr>
      </w:r>
    </w:p>
    <w:sectPr>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Apto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ptos" w:cs="Aptos" w:eastAsia="Aptos" w:hAnsi="Aptos"/>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ptos" w:cs="Aptos" w:eastAsia="Aptos" w:hAnsi="Aptos"/>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ptos" w:cs="Aptos" w:eastAsia="Aptos" w:hAnsi="Aptos"/>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ptos" w:cs="Aptos" w:eastAsia="Aptos" w:hAnsi="Aptos"/>
      <w:b w:val="0"/>
      <w:bCs w:val="0"/>
      <w:i w:val="1"/>
      <w:iCs w:val="1"/>
      <w:smallCaps w:val="0"/>
      <w:strike w:val="0"/>
      <w:color w:val="2e74b5"/>
      <w:sz w:val="22"/>
      <w:szCs w:val="22"/>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ptos" w:cs="Aptos" w:eastAsia="Aptos" w:hAnsi="Aptos"/>
      <w:b w:val="0"/>
      <w:bCs w:val="0"/>
      <w:i w:val="0"/>
      <w:iCs w:val="0"/>
      <w:smallCaps w:val="0"/>
      <w:strike w:val="0"/>
      <w:color w:val="2e74b5"/>
      <w:sz w:val="22"/>
      <w:szCs w:val="22"/>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ptos" w:cs="Aptos" w:eastAsia="Aptos" w:hAnsi="Aptos"/>
      <w:b w:val="0"/>
      <w:bCs w:val="0"/>
      <w:i w:val="0"/>
      <w:iCs w:val="0"/>
      <w:smallCaps w:val="0"/>
      <w:strike w:val="0"/>
      <w:color w:val="1f4d78"/>
      <w:sz w:val="22"/>
      <w:szCs w:val="22"/>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ptos" w:cs="Aptos" w:eastAsia="Aptos" w:hAnsi="Aptos"/>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